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auto"/>
        <w:jc w:val="center"/>
        <w:outlineLvl w:val="0"/>
        <w:rPr>
          <w:rFonts w:ascii="仿宋_GB2312" w:eastAsia="仿宋_GB2312" w:hAnsiTheme="minorEastAsia"/>
          <w:b/>
          <w:bCs/>
          <w:sz w:val="52"/>
          <w:szCs w:val="52"/>
          <w:lang w:val="zh-CN"/>
        </w:rPr>
      </w:pPr>
      <w:r>
        <w:rPr>
          <w:rFonts w:hint="eastAsia" w:ascii="仿宋_GB2312" w:eastAsia="仿宋_GB2312" w:hAnsiTheme="minorEastAsia"/>
          <w:sz w:val="52"/>
          <w:szCs w:val="52"/>
          <w:lang w:val="zh-CN"/>
        </w:rPr>
        <w:t>一、</w:t>
      </w:r>
      <w:r>
        <w:rPr>
          <w:rFonts w:hint="eastAsia" w:ascii="仿宋_GB2312" w:eastAsia="仿宋_GB2312" w:cs="宋体" w:hAnsiTheme="minorEastAsia"/>
          <w:b/>
          <w:bCs/>
          <w:sz w:val="52"/>
          <w:szCs w:val="52"/>
          <w:lang w:val="zh-CN"/>
        </w:rPr>
        <w:t>招标参数</w:t>
      </w:r>
    </w:p>
    <w:p>
      <w:pPr>
        <w:pStyle w:val="3"/>
        <w:spacing w:after="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1、项目概况：</w:t>
      </w:r>
    </w:p>
    <w:p>
      <w:pPr>
        <w:pStyle w:val="3"/>
        <w:spacing w:after="0"/>
        <w:ind w:firstLine="700" w:firstLineChars="250"/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1.1、项目名称：罗湖医院集团布吉教学中心</w:t>
      </w:r>
      <w:r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  <w:t>网络信息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综合布线</w:t>
      </w:r>
      <w:r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  <w:t>项目</w:t>
      </w:r>
    </w:p>
    <w:p>
      <w:pPr>
        <w:pStyle w:val="3"/>
        <w:spacing w:after="0"/>
        <w:ind w:firstLine="560" w:firstLineChars="20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1.2、项目概况：</w:t>
      </w:r>
    </w:p>
    <w:p>
      <w:pPr>
        <w:pStyle w:val="3"/>
        <w:spacing w:after="0"/>
        <w:ind w:firstLine="560" w:firstLineChars="20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罗湖医院集团布吉教学中心</w:t>
      </w:r>
      <w:r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  <w:t>网络信息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综合布线，教学楼7层共计716个网络信息点，现需要招标确定</w:t>
      </w:r>
      <w:r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  <w:t>项目布点及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维护单位。</w:t>
      </w:r>
    </w:p>
    <w:p>
      <w:pPr>
        <w:pStyle w:val="3"/>
        <w:spacing w:after="0"/>
        <w:ind w:firstLine="560" w:firstLineChars="20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1.3、项目性质：服务类</w:t>
      </w:r>
    </w:p>
    <w:p>
      <w:pPr>
        <w:pStyle w:val="3"/>
        <w:spacing w:after="0"/>
        <w:ind w:firstLine="560" w:firstLineChars="20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1.4、项目承包方式：专业服务外包</w:t>
      </w:r>
    </w:p>
    <w:p>
      <w:pPr>
        <w:pStyle w:val="3"/>
        <w:spacing w:after="0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1.5、报价：</w:t>
      </w:r>
      <w:r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  <w:t>总价大包干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，投标人自主报价，中标后不予调整（</w:t>
      </w:r>
      <w:r>
        <w:rPr>
          <w:rFonts w:hint="eastAsia" w:ascii="仿宋_GB2312" w:hAnsi="宋体" w:eastAsia="仿宋_GB2312" w:cs="宋体"/>
          <w:sz w:val="28"/>
          <w:szCs w:val="28"/>
        </w:rPr>
        <w:t>本价格为包干价，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7层共计716个网络信息点、及</w:t>
      </w:r>
      <w:r>
        <w:rPr>
          <w:rFonts w:hint="eastAsia" w:ascii="仿宋_GB2312" w:hAnsi="宋体" w:eastAsia="仿宋_GB2312" w:cs="宋体"/>
          <w:sz w:val="28"/>
          <w:szCs w:val="28"/>
        </w:rPr>
        <w:t>7间教室音、视频布线系统、线槽、线管、相关配件、税费、运费、安装调试费、售后服务费等全部费用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）</w:t>
      </w:r>
      <w:r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  <w:t>。</w:t>
      </w:r>
    </w:p>
    <w:p>
      <w:pPr>
        <w:pStyle w:val="3"/>
        <w:spacing w:after="0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1.6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、项目预算</w:t>
      </w:r>
    </w:p>
    <w:p>
      <w:pPr>
        <w:pStyle w:val="3"/>
        <w:spacing w:after="0"/>
        <w:ind w:firstLine="560" w:firstLineChars="200"/>
        <w:outlineLvl w:val="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、项目施工期限：45天</w:t>
      </w:r>
    </w:p>
    <w:p>
      <w:pPr>
        <w:pStyle w:val="3"/>
        <w:spacing w:after="0"/>
        <w:ind w:firstLine="560" w:firstLineChars="200"/>
        <w:outlineLvl w:val="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sz w:val="28"/>
          <w:szCs w:val="28"/>
        </w:rPr>
        <w:t>、项目维护期限：1年（验收合格签字确认起，中标方要派一名工程师长期驻点，由集团信息科按法定工作日考勤。）</w:t>
      </w:r>
    </w:p>
    <w:p>
      <w:pPr>
        <w:pStyle w:val="3"/>
        <w:spacing w:after="0"/>
        <w:rPr>
          <w:rFonts w:ascii="仿宋_GB2312" w:hAnsi="仿宋" w:eastAsia="仿宋_GB2312" w:cs="宋体"/>
          <w:bCs/>
          <w:kern w:val="11"/>
          <w:sz w:val="28"/>
          <w:szCs w:val="28"/>
          <w:lang w:val="zh-CN"/>
        </w:rPr>
      </w:pPr>
      <w:r>
        <w:rPr>
          <w:rFonts w:hint="eastAsia" w:ascii="仿宋_GB2312" w:hAnsi="宋体" w:eastAsia="仿宋_GB2312"/>
          <w:b/>
          <w:sz w:val="28"/>
          <w:szCs w:val="28"/>
        </w:rPr>
        <w:t>2、投标人投标文件的编制要求：</w:t>
      </w:r>
    </w:p>
    <w:p>
      <w:pPr>
        <w:pStyle w:val="3"/>
        <w:spacing w:after="0"/>
        <w:rPr>
          <w:rFonts w:ascii="仿宋_GB2312" w:hAnsi="仿宋" w:eastAsia="仿宋_GB2312" w:cs="宋体"/>
          <w:bCs/>
          <w:kern w:val="11"/>
          <w:sz w:val="28"/>
          <w:szCs w:val="28"/>
          <w:lang w:val="zh-CN"/>
        </w:rPr>
      </w:pPr>
      <w:r>
        <w:rPr>
          <w:rFonts w:hint="eastAsia" w:ascii="仿宋_GB2312" w:hAnsi="仿宋" w:eastAsia="仿宋_GB2312" w:cs="宋体"/>
          <w:bCs/>
          <w:kern w:val="11"/>
          <w:sz w:val="28"/>
          <w:szCs w:val="28"/>
          <w:lang w:val="zh-CN"/>
        </w:rPr>
        <w:t xml:space="preserve">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投标文件份数： 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>贰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份（正副各一份），装订成册，密封提交（</w:t>
      </w:r>
      <w:r>
        <w:rPr>
          <w:rFonts w:hint="eastAsia" w:ascii="仿宋_GB2312" w:hAnsi="宋体" w:eastAsia="仿宋_GB2312"/>
          <w:b/>
          <w:sz w:val="28"/>
          <w:szCs w:val="28"/>
        </w:rPr>
        <w:t>封面标明两个联系人及联系方式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）。</w:t>
      </w:r>
    </w:p>
    <w:p>
      <w:pPr>
        <w:pStyle w:val="3"/>
        <w:spacing w:after="0"/>
        <w:rPr>
          <w:rFonts w:ascii="仿宋_GB2312" w:hAnsi="仿宋" w:eastAsia="仿宋_GB2312" w:cs="宋体"/>
          <w:bCs/>
          <w:kern w:val="11"/>
          <w:sz w:val="28"/>
          <w:szCs w:val="28"/>
          <w:lang w:val="zh-CN"/>
        </w:rPr>
      </w:pPr>
      <w:r>
        <w:rPr>
          <w:rFonts w:hint="eastAsia" w:ascii="仿宋_GB2312" w:hAnsi="宋体" w:eastAsia="仿宋_GB2312"/>
          <w:b/>
          <w:sz w:val="28"/>
          <w:szCs w:val="28"/>
        </w:rPr>
        <w:t>3、评审方法：</w:t>
      </w:r>
    </w:p>
    <w:p>
      <w:pPr>
        <w:pStyle w:val="3"/>
        <w:spacing w:after="0"/>
        <w:rPr>
          <w:rFonts w:ascii="仿宋_GB2312" w:hAnsi="仿宋" w:eastAsia="仿宋_GB2312" w:cs="宋体"/>
          <w:bCs/>
          <w:kern w:val="11"/>
          <w:sz w:val="28"/>
          <w:szCs w:val="28"/>
          <w:lang w:val="zh-CN"/>
        </w:rPr>
      </w:pPr>
      <w:r>
        <w:rPr>
          <w:rFonts w:hint="eastAsia" w:ascii="仿宋_GB2312" w:hAnsi="仿宋" w:eastAsia="仿宋_GB2312" w:cs="宋体"/>
          <w:bCs/>
          <w:color w:val="FF0000"/>
          <w:kern w:val="11"/>
          <w:sz w:val="28"/>
          <w:szCs w:val="28"/>
          <w:lang w:val="zh-CN"/>
        </w:rPr>
        <w:t xml:space="preserve">    </w:t>
      </w:r>
      <w:r>
        <w:rPr>
          <w:rFonts w:hint="eastAsia" w:ascii="仿宋_GB2312" w:hAnsi="宋体" w:eastAsia="仿宋_GB2312" w:cs="仿宋_GB2312"/>
          <w:sz w:val="28"/>
          <w:szCs w:val="28"/>
        </w:rPr>
        <w:t>本次评标采用综合评分法，分数最高者中标</w:t>
      </w:r>
      <w:r>
        <w:rPr>
          <w:rFonts w:hint="eastAsia" w:ascii="仿宋_GB2312" w:hAnsi="宋体" w:eastAsia="仿宋_GB2312"/>
          <w:sz w:val="28"/>
          <w:szCs w:val="28"/>
        </w:rPr>
        <w:t>。</w:t>
      </w:r>
    </w:p>
    <w:p>
      <w:pPr>
        <w:pStyle w:val="3"/>
        <w:spacing w:after="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4 无效标与废标：</w:t>
      </w:r>
    </w:p>
    <w:p>
      <w:pPr>
        <w:pStyle w:val="3"/>
        <w:spacing w:after="0"/>
        <w:ind w:firstLine="560" w:firstLineChars="20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出现下列情况之一时，招标小组有权宣布为无效标：</w:t>
      </w:r>
    </w:p>
    <w:p>
      <w:pPr>
        <w:pStyle w:val="3"/>
        <w:spacing w:after="0"/>
        <w:ind w:firstLine="560" w:firstLineChars="20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(1) 未按规定的格式填写，实质性内容不全或关键字迹模糊、无法辨认的；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br w:type="textWrapping"/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  (2)未按照招标文件规定要求装订、密封、签署、盖骑缝章的；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br w:type="textWrapping"/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  (3) 投标人递交两份或多份内容不同的投标文件，或在一份投标文件中对同一招标项目报有两个或多个报价，且未声明哪一个有效的。按招标文件规定提交备选投标方案的除外；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br w:type="textWrapping"/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  (4)投标文件中存在招标人不能接受的其它实质性条件或提供虚假文件；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br w:type="textWrapping"/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  (5)投标文件原件现场备查，没带原件的。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br w:type="textWrapping"/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  出现下列情况之一时，评委小组有权宣布废标，并将理由通知所有投标人：</w:t>
      </w:r>
    </w:p>
    <w:p>
      <w:pPr>
        <w:pStyle w:val="3"/>
        <w:spacing w:after="0"/>
        <w:ind w:left="420" w:leftChars="20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（1）出现影响招标方公正的违法、违规行为的；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br w:type="textWrapping"/>
      </w:r>
      <w:r>
        <w:rPr>
          <w:rFonts w:hint="eastAsia" w:ascii="仿宋_GB2312" w:hAnsi="宋体" w:eastAsia="仿宋_GB2312"/>
          <w:color w:val="000000"/>
          <w:sz w:val="28"/>
          <w:szCs w:val="28"/>
        </w:rPr>
        <w:t>（2）投标人的报价均超过了招标方预算，不能支付的；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br w:type="textWrapping"/>
      </w:r>
      <w:r>
        <w:rPr>
          <w:rFonts w:hint="eastAsia" w:ascii="仿宋_GB2312" w:hAnsi="宋体" w:eastAsia="仿宋_GB2312"/>
          <w:color w:val="000000"/>
          <w:sz w:val="28"/>
          <w:szCs w:val="28"/>
        </w:rPr>
        <w:t>（3）因重大变故，招标方任务取消的；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br w:type="textWrapping"/>
      </w:r>
      <w:r>
        <w:rPr>
          <w:rFonts w:hint="eastAsia" w:ascii="仿宋_GB2312" w:hAnsi="宋体" w:eastAsia="仿宋_GB2312"/>
          <w:color w:val="000000"/>
          <w:sz w:val="28"/>
          <w:szCs w:val="28"/>
        </w:rPr>
        <w:t>（4）评委小组评审后一致认定应予废标的。</w:t>
      </w:r>
    </w:p>
    <w:p>
      <w:pPr>
        <w:pStyle w:val="3"/>
        <w:spacing w:after="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5 </w:t>
      </w:r>
      <w:r>
        <w:rPr>
          <w:rFonts w:ascii="仿宋_GB2312" w:hAnsi="宋体" w:eastAsia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b/>
          <w:sz w:val="28"/>
          <w:szCs w:val="28"/>
        </w:rPr>
        <w:t>递交文件时须出示：</w:t>
      </w:r>
    </w:p>
    <w:p>
      <w:pPr>
        <w:pStyle w:val="3"/>
        <w:spacing w:after="0"/>
        <w:rPr>
          <w:rFonts w:ascii="仿宋_GB2312" w:hAnsi="仿宋" w:eastAsia="仿宋_GB2312" w:cs="宋体"/>
          <w:bCs/>
          <w:kern w:val="11"/>
          <w:sz w:val="28"/>
          <w:szCs w:val="28"/>
          <w:lang w:val="zh-CN"/>
        </w:rPr>
      </w:pPr>
      <w:r>
        <w:rPr>
          <w:rFonts w:hint="eastAsia" w:ascii="仿宋_GB2312" w:hAnsi="仿宋" w:eastAsia="仿宋_GB2312" w:cs="宋体"/>
          <w:bCs/>
          <w:kern w:val="11"/>
          <w:sz w:val="28"/>
          <w:szCs w:val="28"/>
          <w:lang w:val="zh-CN"/>
        </w:rPr>
        <w:t xml:space="preserve">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投标人授权代表需携带有效身份证件原件、法人授权委托书（若法人代表须携带本人身份证原件、企业营业执照复印件）</w:t>
      </w:r>
    </w:p>
    <w:p>
      <w:pPr>
        <w:pStyle w:val="3"/>
        <w:spacing w:after="0"/>
        <w:rPr>
          <w:rFonts w:ascii="仿宋_GB2312" w:hAnsi="仿宋" w:eastAsia="仿宋_GB2312" w:cs="宋体"/>
          <w:bCs/>
          <w:kern w:val="11"/>
          <w:sz w:val="28"/>
          <w:szCs w:val="28"/>
          <w:lang w:val="zh-CN"/>
        </w:rPr>
      </w:pPr>
      <w:r>
        <w:rPr>
          <w:rFonts w:hint="eastAsia" w:ascii="仿宋_GB2312" w:hAnsi="宋体" w:eastAsia="仿宋_GB2312"/>
          <w:b/>
          <w:sz w:val="28"/>
          <w:szCs w:val="28"/>
        </w:rPr>
        <w:t>6 质疑及答疑：</w:t>
      </w:r>
    </w:p>
    <w:p>
      <w:pPr>
        <w:pStyle w:val="3"/>
        <w:spacing w:after="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 w:cs="宋体"/>
          <w:bCs/>
          <w:kern w:val="11"/>
          <w:sz w:val="28"/>
          <w:szCs w:val="28"/>
          <w:lang w:val="zh-CN"/>
        </w:rPr>
        <w:t xml:space="preserve">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（1）潜在投标人对于本项目本文件有疑问的，应当在投标截止时间2日前提出，否则视同全部接受。</w:t>
      </w:r>
    </w:p>
    <w:p>
      <w:pPr>
        <w:pStyle w:val="3"/>
        <w:spacing w:after="0"/>
        <w:rPr>
          <w:rFonts w:ascii="仿宋_GB2312" w:hAnsi="仿宋" w:eastAsia="仿宋_GB2312" w:cs="宋体"/>
          <w:bCs/>
          <w:kern w:val="11"/>
          <w:sz w:val="28"/>
          <w:szCs w:val="28"/>
          <w:lang w:val="zh-CN"/>
        </w:rPr>
      </w:pPr>
      <w:r>
        <w:rPr>
          <w:rFonts w:hint="eastAsia" w:ascii="仿宋_GB2312" w:hAnsi="仿宋" w:eastAsia="仿宋_GB2312" w:cs="宋体"/>
          <w:bCs/>
          <w:kern w:val="11"/>
          <w:sz w:val="28"/>
          <w:szCs w:val="28"/>
          <w:lang w:val="zh-CN"/>
        </w:rPr>
        <w:t xml:space="preserve">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（2）投标人自行到现场了解，因未到现场了解情况照成的成本计算错误投标人自行承担。具体可联系信息科钟工：82307004</w:t>
      </w:r>
    </w:p>
    <w:p>
      <w:pPr>
        <w:pStyle w:val="3"/>
        <w:spacing w:after="0"/>
        <w:rPr>
          <w:rFonts w:ascii="仿宋_GB2312" w:hAnsi="仿宋" w:eastAsia="仿宋_GB2312" w:cs="宋体"/>
          <w:bCs/>
          <w:kern w:val="11"/>
          <w:sz w:val="28"/>
          <w:szCs w:val="28"/>
          <w:lang w:val="zh-CN"/>
        </w:rPr>
      </w:pPr>
      <w:r>
        <w:rPr>
          <w:rFonts w:hint="eastAsia" w:ascii="仿宋_GB2312" w:hAnsi="仿宋" w:eastAsia="仿宋_GB2312" w:cs="宋体"/>
          <w:bCs/>
          <w:kern w:val="11"/>
          <w:sz w:val="28"/>
          <w:szCs w:val="28"/>
          <w:lang w:val="zh-CN"/>
        </w:rPr>
        <w:t xml:space="preserve">   </w:t>
      </w:r>
      <w:r>
        <w:rPr>
          <w:rFonts w:hint="eastAsia" w:ascii="仿宋_GB2312" w:hAnsi="宋体" w:eastAsia="仿宋_GB2312" w:cs="宋体"/>
          <w:color w:val="000000"/>
          <w:sz w:val="28"/>
          <w:szCs w:val="28"/>
        </w:rPr>
        <w:t>（3）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本文件由罗湖医院负责解析。</w:t>
      </w:r>
    </w:p>
    <w:p>
      <w:pPr>
        <w:pStyle w:val="3"/>
        <w:spacing w:after="0"/>
        <w:outlineLvl w:val="0"/>
        <w:rPr>
          <w:rFonts w:ascii="仿宋_GB2312" w:eastAsia="仿宋_GB2312" w:hAnsiTheme="minorEastAsia"/>
          <w:sz w:val="28"/>
          <w:szCs w:val="28"/>
          <w:lang w:val="zh-CN"/>
        </w:rPr>
      </w:pPr>
    </w:p>
    <w:p>
      <w:pPr>
        <w:pStyle w:val="3"/>
        <w:spacing w:after="0"/>
        <w:jc w:val="center"/>
        <w:outlineLvl w:val="0"/>
        <w:rPr>
          <w:rFonts w:ascii="仿宋_GB2312" w:eastAsia="仿宋_GB2312" w:cs="宋体" w:hAnsiTheme="minorEastAsia"/>
          <w:b/>
          <w:bCs/>
          <w:sz w:val="52"/>
          <w:szCs w:val="52"/>
          <w:lang w:val="zh-CN"/>
        </w:rPr>
      </w:pPr>
      <w:r>
        <w:rPr>
          <w:rFonts w:hint="eastAsia" w:ascii="仿宋_GB2312" w:eastAsia="仿宋_GB2312" w:hAnsiTheme="minorEastAsia"/>
          <w:sz w:val="52"/>
          <w:szCs w:val="52"/>
          <w:lang w:val="zh-CN"/>
        </w:rPr>
        <w:t>二、</w:t>
      </w:r>
      <w:r>
        <w:rPr>
          <w:rFonts w:hint="eastAsia" w:ascii="仿宋_GB2312" w:eastAsia="仿宋_GB2312" w:cs="宋体" w:hAnsiTheme="minorEastAsia"/>
          <w:b/>
          <w:bCs/>
          <w:sz w:val="52"/>
          <w:szCs w:val="52"/>
          <w:lang w:val="zh-CN"/>
        </w:rPr>
        <w:t>投标人资格及相关要求</w:t>
      </w:r>
    </w:p>
    <w:p>
      <w:pPr>
        <w:pStyle w:val="8"/>
        <w:shd w:val="clear" w:color="auto" w:fill="FFFFFF"/>
        <w:spacing w:before="0" w:beforeAutospacing="0" w:after="0" w:afterAutospacing="0" w:line="360" w:lineRule="auto"/>
        <w:rPr>
          <w:rFonts w:ascii="仿宋_GB2312" w:eastAsia="仿宋_GB2312" w:hAnsiTheme="minorEastAsia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eastAsia="仿宋_GB2312" w:hAnsiTheme="minorEastAsia"/>
          <w:b/>
          <w:bCs/>
          <w:kern w:val="11"/>
          <w:sz w:val="28"/>
          <w:szCs w:val="28"/>
          <w:lang w:val="zh-CN"/>
        </w:rPr>
        <w:t>1、</w:t>
      </w:r>
      <w:r>
        <w:rPr>
          <w:rFonts w:hint="eastAsia" w:ascii="仿宋_GB2312" w:eastAsia="仿宋_GB2312" w:cs="Times New Roman" w:hAnsiTheme="minorEastAsia"/>
          <w:b/>
          <w:color w:val="333333"/>
          <w:kern w:val="2"/>
          <w:sz w:val="28"/>
          <w:szCs w:val="28"/>
        </w:rPr>
        <w:t>投标者</w:t>
      </w:r>
      <w:r>
        <w:rPr>
          <w:rFonts w:hint="eastAsia" w:ascii="仿宋_GB2312" w:eastAsia="仿宋_GB2312" w:hAnsiTheme="minorEastAsia"/>
          <w:b/>
          <w:color w:val="333333"/>
          <w:sz w:val="28"/>
          <w:szCs w:val="28"/>
          <w:shd w:val="clear" w:color="auto" w:fill="FFFFFF"/>
        </w:rPr>
        <w:t>具备履行合同能力的中华人民共和国境内注册的法人,营业执照（经营范围含计算机系统集成内容），</w:t>
      </w:r>
      <w:r>
        <w:rPr>
          <w:rFonts w:hint="eastAsia" w:ascii="仿宋_GB2312" w:eastAsia="仿宋_GB2312" w:hAnsiTheme="minorEastAsia"/>
          <w:b/>
          <w:sz w:val="28"/>
          <w:szCs w:val="28"/>
          <w:shd w:val="clear" w:color="auto" w:fill="FFFFFF"/>
        </w:rPr>
        <w:t>公司运营5年（含）以上.</w:t>
      </w:r>
    </w:p>
    <w:p>
      <w:pPr>
        <w:pStyle w:val="8"/>
        <w:shd w:val="clear" w:color="auto" w:fill="FFFFFF"/>
        <w:spacing w:before="0" w:beforeAutospacing="0" w:after="0" w:afterAutospacing="0" w:line="360" w:lineRule="auto"/>
        <w:rPr>
          <w:rFonts w:ascii="仿宋_GB2312" w:eastAsia="仿宋_GB2312" w:hAnsiTheme="minorEastAsia"/>
          <w:b/>
          <w:color w:val="333333"/>
          <w:sz w:val="28"/>
          <w:szCs w:val="28"/>
        </w:rPr>
      </w:pPr>
      <w:r>
        <w:rPr>
          <w:rFonts w:hint="eastAsia" w:ascii="仿宋_GB2312" w:eastAsia="仿宋_GB2312" w:hAnsiTheme="minorEastAsia"/>
          <w:b/>
          <w:color w:val="333333"/>
          <w:sz w:val="28"/>
          <w:szCs w:val="28"/>
        </w:rPr>
        <w:t>2、投标人提供生产厂家证书</w:t>
      </w:r>
    </w:p>
    <w:p>
      <w:pPr>
        <w:pStyle w:val="3"/>
        <w:spacing w:after="0"/>
        <w:rPr>
          <w:rFonts w:ascii="仿宋_GB2312" w:eastAsia="仿宋_GB2312" w:hAnsiTheme="minorEastAsia"/>
          <w:b/>
          <w:color w:val="000000"/>
          <w:sz w:val="28"/>
          <w:szCs w:val="28"/>
        </w:rPr>
      </w:pP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t>（1）产品的检验报告，</w:t>
      </w:r>
      <w:r>
        <w:rPr>
          <w:rFonts w:hint="eastAsia" w:ascii="仿宋_GB2312" w:hAnsi="宋体" w:eastAsia="仿宋_GB2312"/>
          <w:b/>
          <w:color w:val="000000"/>
          <w:sz w:val="28"/>
          <w:szCs w:val="28"/>
        </w:rPr>
        <w:t>扫描件并加盖公章</w:t>
      </w: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t>；</w:t>
      </w:r>
    </w:p>
    <w:p>
      <w:pPr>
        <w:pStyle w:val="3"/>
        <w:spacing w:after="0"/>
        <w:rPr>
          <w:rFonts w:ascii="仿宋_GB2312" w:hAnsi="宋体" w:eastAsia="仿宋_GB2312"/>
          <w:b/>
          <w:color w:val="000000"/>
          <w:sz w:val="28"/>
          <w:szCs w:val="28"/>
        </w:rPr>
      </w:pP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t>（2）</w:t>
      </w:r>
      <w:r>
        <w:rPr>
          <w:rFonts w:hint="eastAsia" w:ascii="仿宋_GB2312" w:hAnsi="宋体" w:eastAsia="仿宋_GB2312"/>
          <w:b/>
          <w:color w:val="000000"/>
          <w:kern w:val="0"/>
          <w:sz w:val="28"/>
          <w:szCs w:val="28"/>
        </w:rPr>
        <w:t>ISO9001质量管理体系认证证书</w:t>
      </w:r>
      <w:r>
        <w:rPr>
          <w:rFonts w:hint="eastAsia" w:ascii="仿宋_GB2312" w:hAnsi="宋体" w:eastAsia="仿宋_GB2312"/>
          <w:b/>
          <w:color w:val="000000"/>
          <w:sz w:val="28"/>
          <w:szCs w:val="28"/>
        </w:rPr>
        <w:t>，扫描件并加盖公章；</w:t>
      </w:r>
    </w:p>
    <w:p>
      <w:pPr>
        <w:spacing w:line="440" w:lineRule="exact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color w:val="000000"/>
          <w:sz w:val="28"/>
          <w:szCs w:val="28"/>
        </w:rPr>
        <w:t>（3）网线UTP CAT 5E,CAT6的 CE认证、ROSH认证，扫描件并加盖公章；</w:t>
      </w:r>
    </w:p>
    <w:p>
      <w:pPr>
        <w:pStyle w:val="3"/>
        <w:spacing w:after="0"/>
        <w:rPr>
          <w:rFonts w:ascii="仿宋_GB2312" w:eastAsia="仿宋_GB2312" w:hAnsiTheme="minorEastAsia"/>
          <w:b/>
          <w:color w:val="000000"/>
          <w:sz w:val="28"/>
          <w:szCs w:val="28"/>
        </w:rPr>
      </w:pP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t>（4）广东省采用国际标准产品认可证书；</w:t>
      </w:r>
    </w:p>
    <w:p>
      <w:pPr>
        <w:spacing w:line="440" w:lineRule="exact"/>
        <w:jc w:val="left"/>
        <w:rPr>
          <w:rFonts w:ascii="仿宋_GB2312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color w:val="333333"/>
          <w:kern w:val="0"/>
          <w:sz w:val="28"/>
          <w:szCs w:val="28"/>
        </w:rPr>
        <w:t>（5）</w:t>
      </w:r>
      <w:r>
        <w:rPr>
          <w:rFonts w:hint="eastAsia" w:ascii="仿宋_GB2312" w:hAnsi="宋体" w:eastAsia="仿宋_GB2312"/>
          <w:b/>
          <w:color w:val="000000"/>
          <w:sz w:val="28"/>
          <w:szCs w:val="28"/>
        </w:rPr>
        <w:t>为保证产品质量，需提供厂家授权为期二年的质保函原件，并加盖厂家公章</w:t>
      </w:r>
      <w:r>
        <w:rPr>
          <w:rFonts w:hint="eastAsia" w:ascii="仿宋_GB2312" w:hAnsi="宋体" w:eastAsia="仿宋_GB2312"/>
          <w:b/>
          <w:bCs/>
          <w:color w:val="000000"/>
          <w:sz w:val="28"/>
          <w:szCs w:val="28"/>
        </w:rPr>
        <w:t>；</w:t>
      </w:r>
    </w:p>
    <w:p>
      <w:pPr>
        <w:spacing w:line="440" w:lineRule="exact"/>
        <w:jc w:val="left"/>
        <w:rPr>
          <w:rFonts w:ascii="仿宋_GB2312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color w:val="333333"/>
          <w:kern w:val="0"/>
          <w:sz w:val="28"/>
          <w:szCs w:val="28"/>
        </w:rPr>
        <w:t>（6）</w:t>
      </w:r>
      <w:r>
        <w:rPr>
          <w:rFonts w:hint="eastAsia" w:ascii="仿宋_GB2312" w:hAnsi="宋体" w:eastAsia="仿宋_GB2312"/>
          <w:b/>
          <w:color w:val="000000"/>
          <w:sz w:val="28"/>
          <w:szCs w:val="28"/>
        </w:rPr>
        <w:t>为保证供货，需提供厂家授权产品供货证明函原件，并加盖厂家公章</w:t>
      </w:r>
      <w:r>
        <w:rPr>
          <w:rFonts w:hint="eastAsia" w:ascii="仿宋_GB2312" w:hAnsi="宋体" w:eastAsia="仿宋_GB2312"/>
          <w:b/>
          <w:bCs/>
          <w:color w:val="000000"/>
          <w:sz w:val="28"/>
          <w:szCs w:val="28"/>
        </w:rPr>
        <w:t>；</w:t>
      </w:r>
    </w:p>
    <w:p>
      <w:pPr>
        <w:pStyle w:val="8"/>
        <w:shd w:val="clear" w:color="auto" w:fill="FFFFFF"/>
        <w:spacing w:before="0" w:beforeAutospacing="0" w:after="0" w:afterAutospacing="0" w:line="440" w:lineRule="exact"/>
        <w:ind w:left="422" w:hanging="422" w:hangingChars="150"/>
        <w:rPr>
          <w:rFonts w:ascii="仿宋_GB2312" w:eastAsia="仿宋_GB2312" w:hAnsiTheme="minorEastAsia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color w:val="000000"/>
          <w:sz w:val="28"/>
          <w:szCs w:val="28"/>
        </w:rPr>
        <w:t>（7）</w:t>
      </w:r>
      <w:r>
        <w:rPr>
          <w:rFonts w:hint="eastAsia" w:ascii="仿宋_GB2312" w:eastAsia="仿宋_GB2312"/>
          <w:b/>
          <w:color w:val="333333"/>
          <w:sz w:val="28"/>
          <w:szCs w:val="28"/>
        </w:rPr>
        <w:t>投标人须为厂家或其合法代理商，若投标人为代理商则必须出具生产厂家授权函；</w:t>
      </w:r>
    </w:p>
    <w:p>
      <w:pPr>
        <w:pStyle w:val="3"/>
        <w:spacing w:after="0" w:line="360" w:lineRule="auto"/>
        <w:rPr>
          <w:rFonts w:ascii="仿宋_GB2312" w:eastAsia="仿宋_GB2312" w:hAnsiTheme="minorEastAsia"/>
          <w:b/>
          <w:color w:val="FF0000"/>
          <w:sz w:val="28"/>
          <w:szCs w:val="28"/>
        </w:rPr>
      </w:pPr>
      <w:r>
        <w:rPr>
          <w:rFonts w:hint="eastAsia" w:ascii="仿宋_GB2312" w:eastAsia="仿宋_GB2312" w:hAnsiTheme="minorEastAsia"/>
          <w:b/>
          <w:color w:val="333333"/>
          <w:sz w:val="28"/>
          <w:szCs w:val="28"/>
        </w:rPr>
        <w:t>3、</w:t>
      </w:r>
      <w:r>
        <w:rPr>
          <w:rFonts w:hint="eastAsia" w:ascii="仿宋_GB2312" w:eastAsia="仿宋_GB2312" w:hAnsiTheme="minorEastAsia"/>
          <w:b/>
          <w:sz w:val="28"/>
          <w:szCs w:val="28"/>
        </w:rPr>
        <w:t>投标人需派固定的专业技术人员驻点，为支持工程顺利完工，不得在未经甲方同意情况下更换现场技术员，并提供技术员证书和一个季度的社保证明.</w:t>
      </w:r>
    </w:p>
    <w:p>
      <w:pPr>
        <w:pStyle w:val="3"/>
        <w:spacing w:after="0" w:line="360" w:lineRule="auto"/>
        <w:rPr>
          <w:rFonts w:ascii="仿宋_GB2312" w:eastAsia="仿宋_GB2312" w:cs="宋体" w:hAnsiTheme="minorEastAsia"/>
          <w:b/>
          <w:bCs/>
          <w:kern w:val="11"/>
          <w:sz w:val="28"/>
          <w:szCs w:val="28"/>
          <w:lang w:val="zh-CN"/>
        </w:rPr>
      </w:pPr>
      <w:r>
        <w:rPr>
          <w:rFonts w:hint="eastAsia" w:ascii="仿宋_GB2312" w:eastAsia="仿宋_GB2312" w:hAnsiTheme="minorEastAsia"/>
          <w:b/>
          <w:color w:val="333333"/>
          <w:sz w:val="28"/>
          <w:szCs w:val="28"/>
        </w:rPr>
        <w:t>4、</w:t>
      </w:r>
      <w:r>
        <w:rPr>
          <w:rFonts w:hint="eastAsia" w:ascii="仿宋_GB2312" w:eastAsia="仿宋_GB2312" w:hAnsiTheme="minorEastAsia"/>
          <w:b/>
          <w:sz w:val="28"/>
          <w:szCs w:val="28"/>
          <w:shd w:val="clear" w:color="auto" w:fill="FFFFFF"/>
        </w:rPr>
        <w:t>相关医院综合布线案例（1个以上）.</w:t>
      </w:r>
    </w:p>
    <w:p>
      <w:pPr>
        <w:pStyle w:val="3"/>
        <w:spacing w:after="0" w:line="360" w:lineRule="auto"/>
        <w:rPr>
          <w:rFonts w:ascii="仿宋_GB2312" w:eastAsia="仿宋_GB2312" w:cs="宋体" w:hAnsiTheme="minorEastAsia"/>
          <w:b/>
          <w:bCs/>
          <w:kern w:val="11"/>
          <w:sz w:val="28"/>
          <w:szCs w:val="28"/>
          <w:lang w:val="zh-CN"/>
        </w:rPr>
      </w:pPr>
      <w:r>
        <w:rPr>
          <w:rFonts w:hint="eastAsia" w:ascii="仿宋_GB2312" w:eastAsia="仿宋_GB2312" w:hAnsiTheme="minorEastAsia"/>
          <w:b/>
          <w:color w:val="333333"/>
          <w:sz w:val="28"/>
          <w:szCs w:val="28"/>
        </w:rPr>
        <w:t>5、服务承诺细则.</w:t>
      </w:r>
    </w:p>
    <w:p>
      <w:pPr>
        <w:pStyle w:val="3"/>
        <w:spacing w:after="0" w:line="360" w:lineRule="auto"/>
        <w:rPr>
          <w:rFonts w:ascii="仿宋_GB2312" w:eastAsia="仿宋_GB2312" w:cs="宋体" w:hAnsiTheme="minorEastAsia"/>
          <w:b/>
          <w:bCs/>
          <w:color w:val="FF0000"/>
          <w:kern w:val="11"/>
          <w:sz w:val="28"/>
          <w:szCs w:val="28"/>
          <w:lang w:val="zh-CN"/>
        </w:rPr>
      </w:pPr>
      <w:r>
        <w:rPr>
          <w:rFonts w:hint="eastAsia" w:ascii="仿宋_GB2312" w:eastAsia="仿宋_GB2312" w:hAnsiTheme="minorEastAsia"/>
          <w:b/>
          <w:color w:val="333333"/>
          <w:sz w:val="28"/>
          <w:szCs w:val="28"/>
        </w:rPr>
        <w:t>6、</w:t>
      </w:r>
      <w:r>
        <w:rPr>
          <w:rFonts w:hint="eastAsia" w:ascii="仿宋_GB2312" w:eastAsia="仿宋_GB2312" w:cs="仿宋_GB2312" w:hAnsiTheme="minorEastAsia"/>
          <w:b/>
          <w:color w:val="000000"/>
          <w:sz w:val="28"/>
          <w:szCs w:val="28"/>
        </w:rPr>
        <w:t>提供企业诚信记录（供应商须提供本企业在五个信用记录查询网站中的至少其中一个，</w:t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t>提供网页截图并盖公章，信用中国：</w:t>
      </w:r>
      <w:r>
        <w:fldChar w:fldCharType="begin"/>
      </w:r>
      <w:r>
        <w:instrText xml:space="preserve"> HYPERLINK "http://www.creditchina.gov.cn" </w:instrText>
      </w:r>
      <w:r>
        <w:fldChar w:fldCharType="separate"/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t>www.creditchina.gov.cn</w:t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fldChar w:fldCharType="end"/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t>; 中国政府采购网：</w:t>
      </w:r>
      <w:r>
        <w:fldChar w:fldCharType="begin"/>
      </w:r>
      <w:r>
        <w:instrText xml:space="preserve"> HYPERLINK "http://www.ccgp.gov.cn" </w:instrText>
      </w:r>
      <w:r>
        <w:fldChar w:fldCharType="separate"/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t>www.ccgp.gov.cn</w:t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fldChar w:fldCharType="end"/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t>; 深圳市政府采购监督管理网: www.zfcg.sz.gov.cn; 深圳政府采购网：</w:t>
      </w:r>
      <w:r>
        <w:fldChar w:fldCharType="begin"/>
      </w:r>
      <w:r>
        <w:instrText xml:space="preserve"> HYPERLINK "http://www.cgzx.sz.gov.cn" </w:instrText>
      </w:r>
      <w:r>
        <w:fldChar w:fldCharType="separate"/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t>www.cgzx.sz.gov.cn</w:t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fldChar w:fldCharType="end"/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t>; 深圳信用网：</w:t>
      </w:r>
      <w:r>
        <w:fldChar w:fldCharType="begin"/>
      </w:r>
      <w:r>
        <w:instrText xml:space="preserve"> HYPERLINK "http://www.szcredit.org.cn" </w:instrText>
      </w:r>
      <w:r>
        <w:fldChar w:fldCharType="separate"/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t>www.szcredit.org.cn</w:t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fldChar w:fldCharType="end"/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t>）。</w:t>
      </w:r>
    </w:p>
    <w:p>
      <w:pPr>
        <w:pStyle w:val="3"/>
        <w:spacing w:after="0"/>
        <w:rPr>
          <w:rFonts w:ascii="仿宋_GB2312" w:eastAsia="仿宋_GB2312" w:cs="宋体" w:hAnsiTheme="minorEastAsia"/>
          <w:b/>
          <w:bCs/>
          <w:kern w:val="11"/>
          <w:sz w:val="28"/>
          <w:szCs w:val="28"/>
          <w:lang w:val="zh-CN"/>
        </w:rPr>
      </w:pPr>
      <w:r>
        <w:rPr>
          <w:rFonts w:hint="eastAsia" w:ascii="仿宋_GB2312" w:eastAsia="仿宋_GB2312" w:hAnsiTheme="minorEastAsia"/>
          <w:b/>
          <w:color w:val="333333"/>
          <w:sz w:val="28"/>
          <w:szCs w:val="28"/>
          <w:shd w:val="clear" w:color="auto" w:fill="FFFFFF"/>
        </w:rPr>
        <w:t>7、本项目不接受联合体投标。</w:t>
      </w:r>
    </w:p>
    <w:p>
      <w:pPr>
        <w:pStyle w:val="3"/>
        <w:spacing w:after="0"/>
        <w:outlineLvl w:val="0"/>
        <w:rPr>
          <w:rFonts w:ascii="仿宋_GB2312" w:eastAsia="仿宋_GB2312" w:cs="宋体" w:hAnsiTheme="minorEastAsia"/>
          <w:b/>
          <w:bCs/>
          <w:sz w:val="28"/>
          <w:szCs w:val="28"/>
          <w:lang w:val="zh-CN"/>
        </w:rPr>
      </w:pPr>
    </w:p>
    <w:p>
      <w:pPr>
        <w:pStyle w:val="3"/>
        <w:spacing w:after="0"/>
        <w:jc w:val="center"/>
        <w:outlineLvl w:val="0"/>
        <w:rPr>
          <w:rFonts w:ascii="仿宋_GB2312" w:eastAsia="仿宋_GB2312" w:cs="宋体" w:hAnsiTheme="minorEastAsia"/>
          <w:b/>
          <w:bCs/>
          <w:sz w:val="28"/>
          <w:szCs w:val="28"/>
          <w:lang w:val="zh-CN"/>
        </w:rPr>
      </w:pPr>
    </w:p>
    <w:p>
      <w:pPr>
        <w:pStyle w:val="3"/>
        <w:spacing w:after="0"/>
        <w:jc w:val="center"/>
        <w:outlineLvl w:val="0"/>
        <w:rPr>
          <w:rFonts w:ascii="仿宋_GB2312" w:eastAsia="仿宋_GB2312" w:cs="宋体" w:hAnsiTheme="minorEastAsia"/>
          <w:b/>
          <w:bCs/>
          <w:sz w:val="52"/>
          <w:szCs w:val="52"/>
          <w:lang w:val="zh-CN"/>
        </w:rPr>
      </w:pPr>
    </w:p>
    <w:p>
      <w:pPr>
        <w:pStyle w:val="3"/>
        <w:spacing w:after="0"/>
        <w:jc w:val="center"/>
        <w:outlineLvl w:val="0"/>
        <w:rPr>
          <w:rFonts w:ascii="仿宋_GB2312" w:eastAsia="仿宋_GB2312" w:cs="宋体" w:hAnsiTheme="minorEastAsia"/>
          <w:b/>
          <w:bCs/>
          <w:sz w:val="52"/>
          <w:szCs w:val="52"/>
          <w:lang w:val="zh-CN"/>
        </w:rPr>
      </w:pPr>
      <w:r>
        <w:rPr>
          <w:rFonts w:hint="eastAsia" w:ascii="仿宋_GB2312" w:eastAsia="仿宋_GB2312" w:cs="宋体" w:hAnsiTheme="minorEastAsia"/>
          <w:b/>
          <w:bCs/>
          <w:sz w:val="52"/>
          <w:szCs w:val="52"/>
          <w:lang w:val="zh-CN"/>
        </w:rPr>
        <w:t>三、投标人必须提交的资料</w:t>
      </w:r>
    </w:p>
    <w:p>
      <w:pPr>
        <w:pStyle w:val="3"/>
        <w:spacing w:after="0"/>
        <w:rPr>
          <w:rFonts w:ascii="仿宋_GB2312" w:eastAsia="仿宋_GB2312" w:cs="宋体" w:hAnsiTheme="minorEastAsia"/>
          <w:bCs/>
          <w:kern w:val="11"/>
          <w:sz w:val="28"/>
          <w:szCs w:val="28"/>
          <w:lang w:val="zh-CN"/>
        </w:rPr>
      </w:pPr>
    </w:p>
    <w:p>
      <w:pPr>
        <w:pStyle w:val="3"/>
        <w:spacing w:after="0"/>
        <w:rPr>
          <w:rFonts w:ascii="仿宋_GB2312" w:eastAsia="仿宋_GB2312" w:hAnsiTheme="minorEastAsia"/>
          <w:b/>
          <w:color w:val="000000"/>
          <w:sz w:val="28"/>
          <w:szCs w:val="28"/>
        </w:rPr>
      </w:pP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t>按以下顺序装订投标文件</w:t>
      </w: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br w:type="textWrapping"/>
      </w: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t>1、投标文件目录；</w:t>
      </w: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br w:type="textWrapping"/>
      </w: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t>2、法人授权书原件；</w:t>
      </w: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br w:type="textWrapping"/>
      </w: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t>3、投标承诺书；</w:t>
      </w: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br w:type="textWrapping"/>
      </w: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t>4、经年检合格且有效的营业执照（复印件加盖公章）；</w:t>
      </w:r>
    </w:p>
    <w:p>
      <w:pPr>
        <w:pStyle w:val="3"/>
        <w:spacing w:after="0"/>
        <w:rPr>
          <w:rFonts w:ascii="仿宋_GB2312" w:eastAsia="仿宋_GB2312" w:hAnsiTheme="minorEastAsia"/>
          <w:b/>
          <w:color w:val="000000"/>
          <w:sz w:val="28"/>
          <w:szCs w:val="28"/>
        </w:rPr>
      </w:pP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t>5、生产厂家需要提供证书（复印件加盖公章）；</w:t>
      </w:r>
    </w:p>
    <w:p>
      <w:pPr>
        <w:pStyle w:val="8"/>
        <w:shd w:val="clear" w:color="auto" w:fill="FFFFFF"/>
        <w:spacing w:before="0" w:beforeAutospacing="0" w:after="0" w:afterAutospacing="0" w:line="440" w:lineRule="exact"/>
        <w:ind w:left="422" w:hanging="422" w:hangingChars="150"/>
        <w:rPr>
          <w:rFonts w:ascii="仿宋_GB2312" w:eastAsia="仿宋_GB2312"/>
          <w:b/>
          <w:color w:val="333333"/>
        </w:rPr>
      </w:pPr>
      <w:r>
        <w:rPr>
          <w:rFonts w:hint="eastAsia" w:ascii="仿宋_GB2312" w:eastAsia="仿宋_GB2312" w:hAnsiTheme="minorEastAsia"/>
          <w:b/>
          <w:sz w:val="28"/>
          <w:szCs w:val="28"/>
        </w:rPr>
        <w:t>6、相似医疗</w:t>
      </w:r>
      <w:r>
        <w:rPr>
          <w:rFonts w:hint="eastAsia" w:ascii="仿宋_GB2312" w:eastAsia="仿宋_GB2312" w:hAnsiTheme="minorEastAsia"/>
          <w:b/>
          <w:sz w:val="28"/>
          <w:szCs w:val="28"/>
          <w:lang w:eastAsia="zh-CN"/>
        </w:rPr>
        <w:t>单位</w:t>
      </w:r>
      <w:r>
        <w:rPr>
          <w:rFonts w:hint="eastAsia" w:ascii="仿宋_GB2312" w:eastAsia="仿宋_GB2312" w:hAnsiTheme="minorEastAsia"/>
          <w:b/>
          <w:sz w:val="28"/>
          <w:szCs w:val="28"/>
        </w:rPr>
        <w:t>综合布线案例（合同复印件加盖公章）；</w:t>
      </w:r>
    </w:p>
    <w:p>
      <w:pPr>
        <w:pStyle w:val="3"/>
        <w:spacing w:after="0"/>
        <w:rPr>
          <w:rFonts w:ascii="仿宋_GB2312" w:eastAsia="仿宋_GB2312" w:cs="仿宋_GB2312" w:hAnsiTheme="minorEastAsia"/>
          <w:b/>
          <w:sz w:val="28"/>
          <w:szCs w:val="28"/>
        </w:rPr>
      </w:pPr>
      <w:r>
        <w:rPr>
          <w:rFonts w:hint="eastAsia" w:ascii="仿宋_GB2312" w:eastAsia="仿宋_GB2312" w:hAnsiTheme="minorEastAsia"/>
          <w:b/>
          <w:sz w:val="28"/>
          <w:szCs w:val="28"/>
        </w:rPr>
        <w:t>7、</w:t>
      </w:r>
      <w:r>
        <w:rPr>
          <w:rFonts w:hint="eastAsia" w:ascii="仿宋_GB2312" w:eastAsia="仿宋_GB2312" w:cs="仿宋_GB2312" w:hAnsiTheme="minorEastAsia"/>
          <w:b/>
          <w:sz w:val="28"/>
          <w:szCs w:val="28"/>
        </w:rPr>
        <w:t>企业诚信记录（加盖公章）；</w:t>
      </w:r>
    </w:p>
    <w:p>
      <w:pPr>
        <w:pStyle w:val="3"/>
        <w:spacing w:after="0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hint="eastAsia" w:ascii="仿宋_GB2312" w:eastAsia="仿宋_GB2312" w:cs="仿宋_GB2312" w:hAnsiTheme="minorEastAsia"/>
          <w:b/>
          <w:sz w:val="28"/>
          <w:szCs w:val="28"/>
        </w:rPr>
        <w:t>8、技术人员证书和社保证明截图（加盖公章）.</w:t>
      </w:r>
    </w:p>
    <w:p>
      <w:pPr>
        <w:pStyle w:val="3"/>
        <w:spacing w:after="0"/>
        <w:rPr>
          <w:rFonts w:ascii="仿宋_GB2312" w:eastAsia="仿宋_GB2312" w:hAnsiTheme="minorEastAsia"/>
          <w:b/>
          <w:color w:val="000000"/>
          <w:sz w:val="28"/>
          <w:szCs w:val="28"/>
        </w:rPr>
      </w:pP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br w:type="textWrapping"/>
      </w:r>
      <w:r>
        <w:rPr>
          <w:rFonts w:hint="eastAsia" w:ascii="仿宋_GB2312" w:eastAsia="仿宋_GB2312" w:hAnsiTheme="minorEastAsia"/>
          <w:b/>
          <w:color w:val="000000"/>
          <w:sz w:val="28"/>
          <w:szCs w:val="28"/>
        </w:rPr>
        <w:t>上述资料应该是最新、有效、清晰的；复印件应与原件一致，并在复印件加盖投标人公章。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Theme="minorEastAsia"/>
          <w:b/>
          <w:sz w:val="52"/>
          <w:szCs w:val="52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Theme="minorEastAsia"/>
          <w:b/>
          <w:sz w:val="52"/>
          <w:szCs w:val="52"/>
        </w:rPr>
      </w:pPr>
    </w:p>
    <w:p>
      <w:pPr>
        <w:autoSpaceDE w:val="0"/>
        <w:autoSpaceDN w:val="0"/>
        <w:adjustRightInd w:val="0"/>
        <w:spacing w:line="360" w:lineRule="auto"/>
        <w:rPr>
          <w:rFonts w:ascii="仿宋_GB2312" w:eastAsia="仿宋_GB2312" w:hAnsiTheme="minorEastAsia"/>
          <w:b/>
          <w:sz w:val="52"/>
          <w:szCs w:val="52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Theme="minorEastAsia"/>
          <w:b/>
          <w:sz w:val="52"/>
          <w:szCs w:val="52"/>
        </w:rPr>
      </w:pPr>
      <w:r>
        <w:rPr>
          <w:rFonts w:hint="eastAsia" w:ascii="仿宋_GB2312" w:eastAsia="仿宋_GB2312" w:hAnsiTheme="minorEastAsia"/>
          <w:b/>
          <w:sz w:val="52"/>
          <w:szCs w:val="52"/>
        </w:rPr>
        <w:t>四、评分标准</w:t>
      </w:r>
    </w:p>
    <w:tbl>
      <w:tblPr>
        <w:tblStyle w:val="11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67"/>
        <w:gridCol w:w="142"/>
        <w:gridCol w:w="851"/>
        <w:gridCol w:w="141"/>
        <w:gridCol w:w="426"/>
        <w:gridCol w:w="141"/>
        <w:gridCol w:w="851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序号</w:t>
            </w:r>
          </w:p>
        </w:tc>
        <w:tc>
          <w:tcPr>
            <w:tcW w:w="3119" w:type="dxa"/>
            <w:gridSpan w:val="7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评分项</w:t>
            </w:r>
          </w:p>
        </w:tc>
        <w:tc>
          <w:tcPr>
            <w:tcW w:w="5953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权重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1</w:t>
            </w:r>
          </w:p>
        </w:tc>
        <w:tc>
          <w:tcPr>
            <w:tcW w:w="3119" w:type="dxa"/>
            <w:gridSpan w:val="7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价格</w:t>
            </w:r>
          </w:p>
        </w:tc>
        <w:tc>
          <w:tcPr>
            <w:tcW w:w="5953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2</w:t>
            </w:r>
          </w:p>
        </w:tc>
        <w:tc>
          <w:tcPr>
            <w:tcW w:w="3119" w:type="dxa"/>
            <w:gridSpan w:val="7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技术部分</w:t>
            </w:r>
          </w:p>
        </w:tc>
        <w:tc>
          <w:tcPr>
            <w:tcW w:w="5953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709" w:type="dxa"/>
            <w:vMerge w:val="restart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序号</w:t>
            </w:r>
          </w:p>
        </w:tc>
        <w:tc>
          <w:tcPr>
            <w:tcW w:w="992" w:type="dxa"/>
            <w:gridSpan w:val="2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评分</w:t>
            </w:r>
          </w:p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因素</w:t>
            </w:r>
          </w:p>
        </w:tc>
        <w:tc>
          <w:tcPr>
            <w:tcW w:w="567" w:type="dxa"/>
            <w:gridSpan w:val="2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权重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评分</w:t>
            </w:r>
          </w:p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方式</w:t>
            </w:r>
          </w:p>
        </w:tc>
        <w:tc>
          <w:tcPr>
            <w:tcW w:w="5953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评分准则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709" w:type="dxa"/>
            <w:vMerge w:val="continue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整体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技术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方案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评价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15</w:t>
            </w:r>
          </w:p>
        </w:tc>
        <w:tc>
          <w:tcPr>
            <w:tcW w:w="851" w:type="dxa"/>
            <w:vAlign w:val="center"/>
          </w:tcPr>
          <w:p>
            <w:pPr>
              <w:ind w:firstLine="280" w:firstLineChars="10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专</w:t>
            </w:r>
          </w:p>
          <w:p>
            <w:pPr>
              <w:ind w:firstLine="280" w:firstLineChars="10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家</w:t>
            </w:r>
          </w:p>
          <w:p>
            <w:pPr>
              <w:ind w:firstLine="280" w:firstLineChars="10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打</w:t>
            </w:r>
          </w:p>
          <w:p>
            <w:pPr>
              <w:ind w:firstLine="280" w:firstLineChars="10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分</w:t>
            </w:r>
          </w:p>
        </w:tc>
        <w:tc>
          <w:tcPr>
            <w:tcW w:w="5953" w:type="dxa"/>
          </w:tcPr>
          <w:p>
            <w:pPr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 xml:space="preserve"> 评</w:t>
            </w:r>
            <w:r>
              <w:rPr>
                <w:rFonts w:hint="eastAsia" w:ascii="仿宋_GB2312" w:eastAsia="仿宋_GB2312" w:hAnsiTheme="minorEastAsia"/>
                <w:b/>
                <w:bCs/>
                <w:sz w:val="28"/>
                <w:szCs w:val="28"/>
              </w:rPr>
              <w:t>分</w:t>
            </w: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标准：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整体方案设计目标清晰、规划到位、 切合客户的实际要求、充分满足客户 的应用需求，便于客户从理解掌握等方面来综合评分。横向比较，分档评分：优得15分、 良得11分、中得7分、差得 3分以下；未提供得0分。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709" w:type="dxa"/>
            <w:vMerge w:val="continue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售后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服务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方案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评价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10</w:t>
            </w:r>
          </w:p>
        </w:tc>
        <w:tc>
          <w:tcPr>
            <w:tcW w:w="851" w:type="dxa"/>
            <w:vAlign w:val="center"/>
          </w:tcPr>
          <w:p>
            <w:pPr>
              <w:ind w:firstLine="280" w:firstLineChars="10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专</w:t>
            </w:r>
          </w:p>
          <w:p>
            <w:pPr>
              <w:ind w:firstLine="280" w:firstLineChars="10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家</w:t>
            </w:r>
          </w:p>
          <w:p>
            <w:pPr>
              <w:ind w:firstLine="280" w:firstLineChars="10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打</w:t>
            </w:r>
          </w:p>
          <w:p>
            <w:pPr>
              <w:ind w:firstLine="280" w:firstLineChars="10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分</w:t>
            </w:r>
          </w:p>
        </w:tc>
        <w:tc>
          <w:tcPr>
            <w:tcW w:w="5953" w:type="dxa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sz w:val="28"/>
                <w:szCs w:val="28"/>
              </w:rPr>
              <w:t>评分标准</w:t>
            </w: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：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 xml:space="preserve">投标对服务承诺、维护等情况进行响应描述。 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分档评分：优得10分、 良得7分、中得4分、差得 2分以下；未提供得0分。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3</w:t>
            </w:r>
          </w:p>
        </w:tc>
        <w:tc>
          <w:tcPr>
            <w:tcW w:w="3119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商务部分</w:t>
            </w:r>
          </w:p>
        </w:tc>
        <w:tc>
          <w:tcPr>
            <w:tcW w:w="5953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709" w:type="dxa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序号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评分</w:t>
            </w:r>
          </w:p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因素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权重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评分</w:t>
            </w:r>
          </w:p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方式</w:t>
            </w:r>
          </w:p>
        </w:tc>
        <w:tc>
          <w:tcPr>
            <w:tcW w:w="5953" w:type="dxa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评分准则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709" w:type="dxa"/>
            <w:vMerge w:val="restart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1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相关</w:t>
            </w:r>
          </w:p>
          <w:p>
            <w:pPr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证书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18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专家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打分</w:t>
            </w:r>
          </w:p>
        </w:tc>
        <w:tc>
          <w:tcPr>
            <w:tcW w:w="5953" w:type="dxa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评分标准：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shd w:val="clear" w:color="auto" w:fill="FFFFFF"/>
              </w:rPr>
              <w:t>1、经营范围含计算机系统内容</w:t>
            </w: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、运营时间五年以上（含）符合 2分，不符0分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2、生产厂家8个证书符合 8分，少1个证书扣2分，不提供0分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709" w:type="dxa"/>
            <w:vMerge w:val="continue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专业</w:t>
            </w:r>
          </w:p>
          <w:p>
            <w:pPr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人员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10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专家打分</w:t>
            </w:r>
          </w:p>
        </w:tc>
        <w:tc>
          <w:tcPr>
            <w:tcW w:w="5953" w:type="dxa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评分标准：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按照信息化专业人员人数打分，5人以上10分，3-5人5分， 2人以下不得分。人数以最近一季度人员缴交社保记录截图为准。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09" w:type="dxa"/>
            <w:vMerge w:val="continue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>
            <w:pPr>
              <w:rPr>
                <w:rFonts w:ascii="仿宋_GB2312" w:eastAsia="仿宋_GB2312" w:hAnsiTheme="minorEastAsia"/>
                <w:sz w:val="28"/>
                <w:szCs w:val="28"/>
                <w:highlight w:val="green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3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同类项目经验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12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专家打分</w:t>
            </w:r>
          </w:p>
        </w:tc>
        <w:tc>
          <w:tcPr>
            <w:tcW w:w="5953" w:type="dxa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评分标准：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按照同类业绩项目的数量打分：2年内2个以上（含）得12分，1个得6分，无项目经验0分。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709" w:type="dxa"/>
            <w:vMerge w:val="continue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>
            <w:pPr>
              <w:rPr>
                <w:rFonts w:hint="eastAsia" w:ascii="仿宋_GB2312" w:eastAsia="仿宋_GB2312" w:hAnsiTheme="minorEastAsia"/>
                <w:sz w:val="28"/>
                <w:szCs w:val="28"/>
                <w:highlight w:val="green"/>
                <w:lang w:eastAsia="zh-CN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ind w:left="105" w:leftChars="50" w:firstLine="1"/>
              <w:rPr>
                <w:rFonts w:ascii="仿宋_GB2312" w:eastAsia="仿宋_GB2312" w:hAnsiTheme="minorEastAsia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诚信体系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5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ind w:left="105" w:leftChars="50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专家打分</w:t>
            </w:r>
          </w:p>
        </w:tc>
        <w:tc>
          <w:tcPr>
            <w:tcW w:w="5953" w:type="dxa"/>
          </w:tcPr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评分标准：</w:t>
            </w:r>
          </w:p>
          <w:p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投标供应商提供近期企业诚信记录网页截图，3个以上含3个得5分，1-2个2分，无提供0分。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ascii="仿宋_GB2312" w:eastAsia="仿宋_GB2312" w:cs="宋体"/>
          <w:b/>
          <w:bCs/>
          <w:sz w:val="52"/>
          <w:szCs w:val="52"/>
        </w:rPr>
      </w:pPr>
    </w:p>
    <w:p>
      <w:pPr>
        <w:autoSpaceDE w:val="0"/>
        <w:autoSpaceDN w:val="0"/>
        <w:adjustRightInd w:val="0"/>
        <w:spacing w:line="360" w:lineRule="auto"/>
        <w:rPr>
          <w:rFonts w:ascii="仿宋_GB2312" w:eastAsia="仿宋_GB2312" w:cs="宋体"/>
          <w:b/>
          <w:bCs/>
          <w:sz w:val="52"/>
          <w:szCs w:val="52"/>
        </w:rPr>
      </w:pPr>
    </w:p>
    <w:p>
      <w:pPr>
        <w:autoSpaceDE w:val="0"/>
        <w:autoSpaceDN w:val="0"/>
        <w:adjustRightInd w:val="0"/>
        <w:spacing w:line="360" w:lineRule="auto"/>
        <w:ind w:firstLine="2349" w:firstLineChars="450"/>
        <w:rPr>
          <w:rFonts w:ascii="仿宋_GB2312" w:eastAsia="仿宋_GB2312"/>
          <w:b/>
          <w:bCs/>
          <w:sz w:val="52"/>
          <w:szCs w:val="52"/>
        </w:rPr>
      </w:pPr>
      <w:r>
        <w:rPr>
          <w:rFonts w:hint="eastAsia" w:ascii="仿宋_GB2312" w:eastAsia="仿宋_GB2312" w:cs="宋体"/>
          <w:b/>
          <w:bCs/>
          <w:sz w:val="52"/>
          <w:szCs w:val="52"/>
          <w:lang w:val="zh-CN"/>
        </w:rPr>
        <w:t>五、综合布线方案要求</w:t>
      </w:r>
    </w:p>
    <w:p>
      <w:pPr>
        <w:pStyle w:val="3"/>
        <w:ind w:firstLine="560" w:firstLineChars="200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1、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7层共计716个网络信息点（包含</w:t>
      </w:r>
      <w:r>
        <w:rPr>
          <w:rFonts w:hint="eastAsia" w:ascii="仿宋_GB2312" w:hAnsi="宋体" w:eastAsia="仿宋_GB2312" w:cs="宋体"/>
          <w:sz w:val="28"/>
          <w:szCs w:val="28"/>
        </w:rPr>
        <w:t>7间教室音、视频布线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）。</w:t>
      </w:r>
    </w:p>
    <w:p>
      <w:pPr>
        <w:pStyle w:val="3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2、42U，600*800网络机柜三个。</w:t>
      </w:r>
    </w:p>
    <w:p>
      <w:pPr>
        <w:pStyle w:val="3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3、布线采用TIA/EIA CAT6标准线缆及模块。</w:t>
      </w:r>
    </w:p>
    <w:p>
      <w:pPr>
        <w:pStyle w:val="3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4、布线需严格按照</w:t>
      </w:r>
      <w:r>
        <w:rPr>
          <w:rFonts w:ascii="仿宋_GB2312" w:eastAsia="仿宋_GB2312" w:hAnsiTheme="minorEastAsia"/>
          <w:sz w:val="28"/>
          <w:szCs w:val="28"/>
        </w:rPr>
        <w:t>GB 50311-2007</w:t>
      </w:r>
      <w:r>
        <w:rPr>
          <w:rFonts w:hint="eastAsia" w:ascii="仿宋_GB2312" w:eastAsia="仿宋_GB2312" w:hAnsiTheme="minorEastAsia"/>
          <w:sz w:val="28"/>
          <w:szCs w:val="28"/>
        </w:rPr>
        <w:t>标准执行。</w:t>
      </w:r>
    </w:p>
    <w:p>
      <w:pPr>
        <w:pStyle w:val="3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5、水平布线需进入线槽。</w:t>
      </w:r>
      <w:bookmarkStart w:id="0" w:name="_GoBack"/>
      <w:bookmarkEnd w:id="0"/>
    </w:p>
    <w:p>
      <w:pPr>
        <w:pStyle w:val="3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6、网络布线必须使用独立线管，严禁与电线同管。</w:t>
      </w:r>
    </w:p>
    <w:p>
      <w:pPr>
        <w:pStyle w:val="3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7、机房汇聚机柜必需使用配线架。</w:t>
      </w:r>
    </w:p>
    <w:p>
      <w:pPr>
        <w:pStyle w:val="3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8、布线范围为从交换机到电脑端的所有线路及附件，不含交换机电脑。</w:t>
      </w:r>
    </w:p>
    <w:p>
      <w:pPr>
        <w:pStyle w:val="3"/>
        <w:spacing w:after="0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9、信息点及机柜配线架需有唯一标识。</w:t>
      </w:r>
    </w:p>
    <w:p>
      <w:pPr>
        <w:pStyle w:val="3"/>
        <w:spacing w:after="0"/>
        <w:ind w:firstLine="560" w:firstLineChars="200"/>
        <w:rPr>
          <w:rFonts w:ascii="仿宋_GB2312" w:eastAsia="仿宋_GB2312" w:hAnsiTheme="minorEastAsia"/>
          <w:sz w:val="28"/>
          <w:szCs w:val="28"/>
        </w:rPr>
      </w:pPr>
    </w:p>
    <w:sectPr>
      <w:headerReference r:id="rId3" w:type="default"/>
      <w:pgSz w:w="12240" w:h="15840"/>
      <w:pgMar w:top="1440" w:right="1041" w:bottom="1440" w:left="1418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